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AC2C" w14:textId="77777777" w:rsidR="00EA79F9" w:rsidRDefault="00EA79F9">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360"/>
        <w:gridCol w:w="2790"/>
        <w:gridCol w:w="180"/>
        <w:gridCol w:w="1620"/>
        <w:gridCol w:w="2808"/>
      </w:tblGrid>
      <w:tr w:rsidR="00EA79F9" w14:paraId="36E7C8C6" w14:textId="77777777">
        <w:tc>
          <w:tcPr>
            <w:tcW w:w="2178" w:type="dxa"/>
            <w:gridSpan w:val="2"/>
            <w:shd w:val="clear" w:color="auto" w:fill="F2F2F2"/>
          </w:tcPr>
          <w:p w14:paraId="3B821456" w14:textId="77777777" w:rsidR="00EA79F9" w:rsidRDefault="00000000">
            <w:pPr>
              <w:pBdr>
                <w:top w:val="nil"/>
                <w:left w:val="nil"/>
                <w:bottom w:val="nil"/>
                <w:right w:val="nil"/>
                <w:between w:val="nil"/>
              </w:pBdr>
              <w:spacing w:before="40"/>
              <w:rPr>
                <w:rFonts w:cs="Calibri"/>
                <w:b/>
                <w:color w:val="262626"/>
              </w:rPr>
            </w:pPr>
            <w:r>
              <w:rPr>
                <w:rFonts w:cs="Calibri"/>
                <w:b/>
                <w:color w:val="262626"/>
              </w:rPr>
              <w:t>Job Title</w:t>
            </w:r>
          </w:p>
        </w:tc>
        <w:tc>
          <w:tcPr>
            <w:tcW w:w="2970" w:type="dxa"/>
            <w:gridSpan w:val="2"/>
          </w:tcPr>
          <w:p w14:paraId="085306DB" w14:textId="77777777" w:rsidR="00EA79F9" w:rsidRDefault="00000000">
            <w:r>
              <w:t>LCA Advocacy Specialist</w:t>
            </w:r>
          </w:p>
        </w:tc>
        <w:tc>
          <w:tcPr>
            <w:tcW w:w="1620" w:type="dxa"/>
            <w:shd w:val="clear" w:color="auto" w:fill="F2F2F2"/>
          </w:tcPr>
          <w:p w14:paraId="743AAA57" w14:textId="77777777" w:rsidR="00EA79F9" w:rsidRDefault="00000000">
            <w:pPr>
              <w:pBdr>
                <w:top w:val="nil"/>
                <w:left w:val="nil"/>
                <w:bottom w:val="nil"/>
                <w:right w:val="nil"/>
                <w:between w:val="nil"/>
              </w:pBdr>
              <w:spacing w:before="40"/>
              <w:rPr>
                <w:rFonts w:cs="Calibri"/>
                <w:b/>
                <w:color w:val="262626"/>
              </w:rPr>
            </w:pPr>
            <w:r>
              <w:rPr>
                <w:rFonts w:cs="Calibri"/>
                <w:b/>
                <w:color w:val="262626"/>
              </w:rPr>
              <w:t xml:space="preserve">Job Category </w:t>
            </w:r>
          </w:p>
        </w:tc>
        <w:tc>
          <w:tcPr>
            <w:tcW w:w="2808" w:type="dxa"/>
          </w:tcPr>
          <w:p w14:paraId="09A5C0F2" w14:textId="77777777" w:rsidR="00EA79F9" w:rsidRDefault="00000000">
            <w:r>
              <w:t>Government Relations</w:t>
            </w:r>
          </w:p>
        </w:tc>
      </w:tr>
      <w:tr w:rsidR="00EA79F9" w14:paraId="717938C4" w14:textId="77777777">
        <w:tc>
          <w:tcPr>
            <w:tcW w:w="2178" w:type="dxa"/>
            <w:gridSpan w:val="2"/>
            <w:shd w:val="clear" w:color="auto" w:fill="F2F2F2"/>
          </w:tcPr>
          <w:p w14:paraId="750E2AFE" w14:textId="77777777" w:rsidR="00EA79F9" w:rsidRDefault="00000000">
            <w:pPr>
              <w:pBdr>
                <w:top w:val="nil"/>
                <w:left w:val="nil"/>
                <w:bottom w:val="nil"/>
                <w:right w:val="nil"/>
                <w:between w:val="nil"/>
              </w:pBdr>
              <w:spacing w:before="40"/>
              <w:rPr>
                <w:rFonts w:cs="Calibri"/>
                <w:b/>
                <w:color w:val="262626"/>
              </w:rPr>
            </w:pPr>
            <w:r>
              <w:rPr>
                <w:rFonts w:cs="Calibri"/>
                <w:b/>
                <w:color w:val="262626"/>
              </w:rPr>
              <w:t>Department/Group</w:t>
            </w:r>
          </w:p>
        </w:tc>
        <w:tc>
          <w:tcPr>
            <w:tcW w:w="2970" w:type="dxa"/>
            <w:gridSpan w:val="2"/>
          </w:tcPr>
          <w:p w14:paraId="3B945506" w14:textId="77777777" w:rsidR="00EA79F9" w:rsidRDefault="00000000">
            <w:r>
              <w:t>Government Relations</w:t>
            </w:r>
          </w:p>
        </w:tc>
        <w:tc>
          <w:tcPr>
            <w:tcW w:w="1620" w:type="dxa"/>
            <w:shd w:val="clear" w:color="auto" w:fill="F2F2F2"/>
          </w:tcPr>
          <w:p w14:paraId="448E9FAC" w14:textId="77777777" w:rsidR="00EA79F9" w:rsidRDefault="00000000">
            <w:pPr>
              <w:pBdr>
                <w:top w:val="nil"/>
                <w:left w:val="nil"/>
                <w:bottom w:val="nil"/>
                <w:right w:val="nil"/>
                <w:between w:val="nil"/>
              </w:pBdr>
              <w:spacing w:before="40"/>
              <w:rPr>
                <w:rFonts w:cs="Calibri"/>
                <w:b/>
                <w:color w:val="262626"/>
              </w:rPr>
            </w:pPr>
            <w:r>
              <w:rPr>
                <w:rFonts w:cs="Calibri"/>
                <w:b/>
                <w:color w:val="262626"/>
              </w:rPr>
              <w:t>Travel Required</w:t>
            </w:r>
          </w:p>
        </w:tc>
        <w:tc>
          <w:tcPr>
            <w:tcW w:w="2808" w:type="dxa"/>
          </w:tcPr>
          <w:p w14:paraId="2E9050D1" w14:textId="77777777" w:rsidR="00EA79F9" w:rsidRDefault="00000000">
            <w:r>
              <w:t xml:space="preserve">Yes – Annual Conference and Executive Board Meetings </w:t>
            </w:r>
          </w:p>
        </w:tc>
      </w:tr>
      <w:tr w:rsidR="00EA79F9" w14:paraId="0C52659C" w14:textId="77777777">
        <w:tc>
          <w:tcPr>
            <w:tcW w:w="2178" w:type="dxa"/>
            <w:gridSpan w:val="2"/>
            <w:shd w:val="clear" w:color="auto" w:fill="F2F2F2"/>
          </w:tcPr>
          <w:p w14:paraId="5283A50C" w14:textId="77777777" w:rsidR="00EA79F9" w:rsidRDefault="00000000">
            <w:pPr>
              <w:pBdr>
                <w:top w:val="nil"/>
                <w:left w:val="nil"/>
                <w:bottom w:val="nil"/>
                <w:right w:val="nil"/>
                <w:between w:val="nil"/>
              </w:pBdr>
              <w:spacing w:before="40"/>
              <w:rPr>
                <w:rFonts w:cs="Calibri"/>
                <w:b/>
                <w:color w:val="262626"/>
              </w:rPr>
            </w:pPr>
            <w:r>
              <w:rPr>
                <w:rFonts w:cs="Calibri"/>
                <w:b/>
                <w:color w:val="262626"/>
              </w:rPr>
              <w:t>Location</w:t>
            </w:r>
          </w:p>
        </w:tc>
        <w:tc>
          <w:tcPr>
            <w:tcW w:w="2970" w:type="dxa"/>
            <w:gridSpan w:val="2"/>
          </w:tcPr>
          <w:p w14:paraId="1F5FA24A" w14:textId="77777777" w:rsidR="00EA79F9" w:rsidRDefault="00000000">
            <w:r>
              <w:t>Work-from-home</w:t>
            </w:r>
          </w:p>
        </w:tc>
        <w:tc>
          <w:tcPr>
            <w:tcW w:w="1620" w:type="dxa"/>
            <w:tcBorders>
              <w:bottom w:val="single" w:sz="4" w:space="0" w:color="000000"/>
            </w:tcBorders>
            <w:shd w:val="clear" w:color="auto" w:fill="F2F2F2"/>
          </w:tcPr>
          <w:p w14:paraId="32E1BE0F" w14:textId="77777777" w:rsidR="00EA79F9" w:rsidRDefault="00000000">
            <w:pPr>
              <w:pBdr>
                <w:top w:val="nil"/>
                <w:left w:val="nil"/>
                <w:bottom w:val="nil"/>
                <w:right w:val="nil"/>
                <w:between w:val="nil"/>
              </w:pBdr>
              <w:spacing w:before="40"/>
              <w:rPr>
                <w:rFonts w:cs="Calibri"/>
                <w:b/>
                <w:color w:val="262626"/>
              </w:rPr>
            </w:pPr>
            <w:r>
              <w:rPr>
                <w:rFonts w:cs="Calibri"/>
                <w:b/>
                <w:color w:val="262626"/>
              </w:rPr>
              <w:t>Position Type</w:t>
            </w:r>
          </w:p>
        </w:tc>
        <w:tc>
          <w:tcPr>
            <w:tcW w:w="2808" w:type="dxa"/>
          </w:tcPr>
          <w:p w14:paraId="194522BD" w14:textId="77777777" w:rsidR="00EA79F9" w:rsidRDefault="00000000">
            <w:r>
              <w:t>Part-time</w:t>
            </w:r>
          </w:p>
        </w:tc>
      </w:tr>
      <w:tr w:rsidR="00EA79F9" w14:paraId="242BBD94" w14:textId="77777777">
        <w:tc>
          <w:tcPr>
            <w:tcW w:w="2178" w:type="dxa"/>
            <w:gridSpan w:val="2"/>
            <w:shd w:val="clear" w:color="auto" w:fill="F2F2F2"/>
          </w:tcPr>
          <w:p w14:paraId="5010C6F2" w14:textId="77777777" w:rsidR="00EA79F9" w:rsidRDefault="00000000">
            <w:pPr>
              <w:pBdr>
                <w:top w:val="nil"/>
                <w:left w:val="nil"/>
                <w:bottom w:val="nil"/>
                <w:right w:val="nil"/>
                <w:between w:val="nil"/>
              </w:pBdr>
              <w:spacing w:before="40"/>
              <w:rPr>
                <w:rFonts w:cs="Calibri"/>
                <w:b/>
                <w:color w:val="262626"/>
              </w:rPr>
            </w:pPr>
            <w:r>
              <w:rPr>
                <w:rFonts w:cs="Calibri"/>
                <w:b/>
                <w:color w:val="262626"/>
              </w:rPr>
              <w:t>HR Contact</w:t>
            </w:r>
          </w:p>
        </w:tc>
        <w:tc>
          <w:tcPr>
            <w:tcW w:w="2970" w:type="dxa"/>
            <w:gridSpan w:val="2"/>
          </w:tcPr>
          <w:p w14:paraId="2EAD1160" w14:textId="77777777" w:rsidR="00EA79F9" w:rsidRDefault="00000000">
            <w:r>
              <w:t>Executive Director</w:t>
            </w:r>
          </w:p>
        </w:tc>
        <w:tc>
          <w:tcPr>
            <w:tcW w:w="1620" w:type="dxa"/>
            <w:tcBorders>
              <w:bottom w:val="single" w:sz="4" w:space="0" w:color="000000"/>
            </w:tcBorders>
            <w:shd w:val="clear" w:color="auto" w:fill="D9D9D9"/>
          </w:tcPr>
          <w:p w14:paraId="40805316" w14:textId="77777777" w:rsidR="00EA79F9" w:rsidRDefault="00000000">
            <w:pPr>
              <w:pBdr>
                <w:top w:val="nil"/>
                <w:left w:val="nil"/>
                <w:bottom w:val="nil"/>
                <w:right w:val="nil"/>
                <w:between w:val="nil"/>
              </w:pBdr>
              <w:spacing w:before="40"/>
              <w:rPr>
                <w:rFonts w:cs="Calibri"/>
                <w:b/>
                <w:color w:val="262626"/>
              </w:rPr>
            </w:pPr>
            <w:r>
              <w:rPr>
                <w:rFonts w:cs="Calibri"/>
                <w:b/>
                <w:color w:val="262626"/>
              </w:rPr>
              <w:t>Date Posted</w:t>
            </w:r>
          </w:p>
        </w:tc>
        <w:tc>
          <w:tcPr>
            <w:tcW w:w="2808" w:type="dxa"/>
          </w:tcPr>
          <w:p w14:paraId="16004A36" w14:textId="77777777" w:rsidR="00EA79F9" w:rsidRDefault="00000000">
            <w:r>
              <w:t xml:space="preserve"> </w:t>
            </w:r>
          </w:p>
        </w:tc>
      </w:tr>
      <w:tr w:rsidR="00EA79F9" w14:paraId="04079193" w14:textId="77777777">
        <w:tc>
          <w:tcPr>
            <w:tcW w:w="2178" w:type="dxa"/>
            <w:gridSpan w:val="2"/>
            <w:shd w:val="clear" w:color="auto" w:fill="F2F2F2"/>
          </w:tcPr>
          <w:p w14:paraId="3D14A6F0" w14:textId="77777777" w:rsidR="00EA79F9" w:rsidRDefault="00000000">
            <w:pPr>
              <w:pBdr>
                <w:top w:val="nil"/>
                <w:left w:val="nil"/>
                <w:bottom w:val="nil"/>
                <w:right w:val="nil"/>
                <w:between w:val="nil"/>
              </w:pBdr>
              <w:spacing w:before="40"/>
              <w:rPr>
                <w:rFonts w:cs="Calibri"/>
                <w:b/>
                <w:color w:val="262626"/>
              </w:rPr>
            </w:pPr>
            <w:r>
              <w:rPr>
                <w:rFonts w:cs="Calibri"/>
                <w:b/>
                <w:color w:val="262626"/>
              </w:rPr>
              <w:t>Compensation</w:t>
            </w:r>
          </w:p>
        </w:tc>
        <w:tc>
          <w:tcPr>
            <w:tcW w:w="7398" w:type="dxa"/>
            <w:gridSpan w:val="4"/>
          </w:tcPr>
          <w:p w14:paraId="5C552CA9" w14:textId="77777777" w:rsidR="00EA79F9" w:rsidRDefault="00000000">
            <w:pPr>
              <w:spacing w:before="0" w:after="0"/>
            </w:pPr>
            <w:r>
              <w:t>Annual Salary Range ($8,000 – $12,000)</w:t>
            </w:r>
          </w:p>
          <w:p w14:paraId="4A9F49AD" w14:textId="77777777" w:rsidR="00EA79F9" w:rsidRDefault="00000000">
            <w:pPr>
              <w:spacing w:before="0" w:after="0"/>
            </w:pPr>
            <w:r>
              <w:t>Mileage reimbursement for approved business-related activities</w:t>
            </w:r>
          </w:p>
          <w:p w14:paraId="5BDA5C78" w14:textId="77777777" w:rsidR="00EA79F9" w:rsidRDefault="00000000">
            <w:pPr>
              <w:spacing w:before="0" w:after="0"/>
            </w:pPr>
            <w:r>
              <w:t>Conference registration complimentary</w:t>
            </w:r>
          </w:p>
          <w:p w14:paraId="631A53A3" w14:textId="77777777" w:rsidR="00EA79F9" w:rsidRDefault="00000000">
            <w:pPr>
              <w:spacing w:before="0" w:after="0"/>
            </w:pPr>
            <w:r>
              <w:t>Conference hotel complimentary</w:t>
            </w:r>
          </w:p>
        </w:tc>
      </w:tr>
      <w:tr w:rsidR="00EA79F9" w14:paraId="452CF4A5" w14:textId="77777777">
        <w:tc>
          <w:tcPr>
            <w:tcW w:w="2178" w:type="dxa"/>
            <w:gridSpan w:val="2"/>
            <w:shd w:val="clear" w:color="auto" w:fill="F2F2F2"/>
          </w:tcPr>
          <w:p w14:paraId="31686375" w14:textId="77777777" w:rsidR="00EA79F9" w:rsidRDefault="00000000">
            <w:pPr>
              <w:pBdr>
                <w:top w:val="nil"/>
                <w:left w:val="nil"/>
                <w:bottom w:val="nil"/>
                <w:right w:val="nil"/>
                <w:between w:val="nil"/>
              </w:pBdr>
              <w:spacing w:before="40"/>
              <w:rPr>
                <w:rFonts w:cs="Calibri"/>
                <w:b/>
                <w:color w:val="262626"/>
              </w:rPr>
            </w:pPr>
            <w:r>
              <w:rPr>
                <w:rFonts w:cs="Calibri"/>
                <w:b/>
                <w:color w:val="262626"/>
              </w:rPr>
              <w:t>Preferred Qualifications</w:t>
            </w:r>
          </w:p>
        </w:tc>
        <w:tc>
          <w:tcPr>
            <w:tcW w:w="7398" w:type="dxa"/>
            <w:gridSpan w:val="4"/>
          </w:tcPr>
          <w:p w14:paraId="0CBC5C0B" w14:textId="77777777" w:rsidR="00EA79F9" w:rsidRDefault="00000000">
            <w:pPr>
              <w:spacing w:before="0" w:after="0"/>
            </w:pPr>
            <w:r>
              <w:t>Member of LCA and maintain membership throughout employment with LCA</w:t>
            </w:r>
          </w:p>
          <w:p w14:paraId="3123D1FC" w14:textId="77777777" w:rsidR="00EA79F9" w:rsidRDefault="00000000">
            <w:pPr>
              <w:spacing w:before="0" w:after="0"/>
            </w:pPr>
            <w:r>
              <w:t xml:space="preserve">Knowledge and experience in </w:t>
            </w:r>
            <w:proofErr w:type="gramStart"/>
            <w:r>
              <w:t>legislative</w:t>
            </w:r>
            <w:proofErr w:type="gramEnd"/>
            <w:r>
              <w:t xml:space="preserve"> process in Louisiana</w:t>
            </w:r>
          </w:p>
          <w:p w14:paraId="463B8F08" w14:textId="77777777" w:rsidR="00EA79F9" w:rsidRDefault="00000000">
            <w:pPr>
              <w:spacing w:before="0" w:after="0"/>
            </w:pPr>
            <w:r>
              <w:t>Knowledge and experience in counseling profession and scope of practice in Louisiana</w:t>
            </w:r>
          </w:p>
          <w:p w14:paraId="75EB019E" w14:textId="77777777" w:rsidR="00EA79F9" w:rsidRDefault="00000000">
            <w:pPr>
              <w:spacing w:before="0" w:after="0"/>
            </w:pPr>
            <w:r>
              <w:t>Excellent analytical and project management skills</w:t>
            </w:r>
          </w:p>
          <w:p w14:paraId="53A9F0D3" w14:textId="77777777" w:rsidR="00EA79F9" w:rsidRDefault="00000000">
            <w:pPr>
              <w:spacing w:before="0" w:after="0"/>
            </w:pPr>
            <w:r>
              <w:t>Ability to multitask and perform under tight deadlines</w:t>
            </w:r>
          </w:p>
          <w:p w14:paraId="3988B42E" w14:textId="77777777" w:rsidR="00EA79F9" w:rsidRDefault="00000000">
            <w:pPr>
              <w:spacing w:before="0" w:after="0"/>
            </w:pPr>
            <w:r>
              <w:t>Strong verbal and written communication skills</w:t>
            </w:r>
          </w:p>
          <w:p w14:paraId="4C752745" w14:textId="77777777" w:rsidR="00EA79F9" w:rsidRDefault="00000000">
            <w:pPr>
              <w:spacing w:before="0" w:after="0"/>
            </w:pPr>
            <w:r>
              <w:t>Experience working in multiple settings (i.e. private practice, school, community-based, etc.)</w:t>
            </w:r>
          </w:p>
          <w:p w14:paraId="457064BF" w14:textId="77777777" w:rsidR="00EA79F9" w:rsidRDefault="00000000">
            <w:pPr>
              <w:spacing w:before="0" w:after="0"/>
            </w:pPr>
            <w:r>
              <w:t>Knowledge and experience in the counseling profession and scope of practice in Louisiana.</w:t>
            </w:r>
          </w:p>
          <w:p w14:paraId="03D5D5B2" w14:textId="77777777" w:rsidR="00EA79F9" w:rsidRDefault="00000000">
            <w:pPr>
              <w:spacing w:before="0" w:after="0"/>
            </w:pPr>
            <w:r>
              <w:t>Ability to multitask and perform under tight deadlines.</w:t>
            </w:r>
          </w:p>
          <w:p w14:paraId="3D73CD21" w14:textId="77777777" w:rsidR="00EA79F9" w:rsidRDefault="00000000">
            <w:pPr>
              <w:spacing w:before="0" w:after="0"/>
            </w:pPr>
            <w:r>
              <w:t>Creative leadership skills.</w:t>
            </w:r>
          </w:p>
          <w:p w14:paraId="1E913F0F" w14:textId="77777777" w:rsidR="00EA79F9" w:rsidRDefault="00EA79F9">
            <w:pPr>
              <w:spacing w:before="0" w:after="0"/>
            </w:pPr>
          </w:p>
        </w:tc>
      </w:tr>
      <w:tr w:rsidR="00EA79F9" w14:paraId="19911421" w14:textId="77777777">
        <w:tc>
          <w:tcPr>
            <w:tcW w:w="9576" w:type="dxa"/>
            <w:gridSpan w:val="6"/>
            <w:shd w:val="clear" w:color="auto" w:fill="D9D9D9"/>
          </w:tcPr>
          <w:p w14:paraId="68B241BE" w14:textId="77777777" w:rsidR="00EA79F9" w:rsidRDefault="00000000">
            <w:pPr>
              <w:pBdr>
                <w:top w:val="nil"/>
                <w:left w:val="nil"/>
                <w:bottom w:val="nil"/>
                <w:right w:val="nil"/>
                <w:between w:val="nil"/>
              </w:pBdr>
              <w:spacing w:before="40"/>
              <w:rPr>
                <w:rFonts w:cs="Calibri"/>
                <w:b/>
                <w:color w:val="262626"/>
              </w:rPr>
            </w:pPr>
            <w:r>
              <w:rPr>
                <w:rFonts w:cs="Calibri"/>
                <w:b/>
                <w:color w:val="262626"/>
              </w:rPr>
              <w:t>Job Description</w:t>
            </w:r>
          </w:p>
        </w:tc>
      </w:tr>
      <w:tr w:rsidR="00EA79F9" w14:paraId="09CDEB93" w14:textId="77777777">
        <w:tc>
          <w:tcPr>
            <w:tcW w:w="9576" w:type="dxa"/>
            <w:gridSpan w:val="6"/>
          </w:tcPr>
          <w:p w14:paraId="6DBE045C" w14:textId="77777777" w:rsidR="00EA79F9" w:rsidRDefault="00EA79F9">
            <w:pPr>
              <w:spacing w:after="0"/>
              <w:rPr>
                <w:b/>
                <w:u w:val="single"/>
              </w:rPr>
            </w:pPr>
          </w:p>
          <w:p w14:paraId="2DBA3D7A" w14:textId="77777777" w:rsidR="00EA79F9" w:rsidRDefault="00000000">
            <w:pPr>
              <w:spacing w:before="0" w:after="0"/>
              <w:rPr>
                <w:b/>
              </w:rPr>
            </w:pPr>
            <w:r>
              <w:rPr>
                <w:b/>
                <w:u w:val="single"/>
              </w:rPr>
              <w:t>Role</w:t>
            </w:r>
            <w:r>
              <w:rPr>
                <w:b/>
              </w:rPr>
              <w:t xml:space="preserve">: </w:t>
            </w:r>
          </w:p>
          <w:p w14:paraId="5CD53521" w14:textId="77777777" w:rsidR="00EA79F9" w:rsidRDefault="00000000">
            <w:pPr>
              <w:spacing w:before="0"/>
            </w:pPr>
            <w:r>
              <w:t>The Advocacy Specialist leads the government relations functions of LCA. In addition to planning and executing advocacy initiatives, the Specialist serves as a vital liaison between LCA and its members. They are dedicated to addressing inquiries and concerns from members regarding issues that affect their professional practice, particularly in areas related to licensure, policy, and legislation. By actively advocating for members with relevant stakeholders, the Advocacy Specialist ensures their voices are heard and represented in discussions that shape the future of counseling in Louisiana.</w:t>
            </w:r>
          </w:p>
          <w:p w14:paraId="7A641B96" w14:textId="77777777" w:rsidR="00EA79F9" w:rsidRDefault="00000000">
            <w:pPr>
              <w:rPr>
                <w:b/>
              </w:rPr>
            </w:pPr>
            <w:r>
              <w:rPr>
                <w:b/>
                <w:u w:val="single"/>
              </w:rPr>
              <w:t>Responsibilities</w:t>
            </w:r>
            <w:r>
              <w:rPr>
                <w:b/>
              </w:rPr>
              <w:t>:</w:t>
            </w:r>
          </w:p>
          <w:p w14:paraId="6D833935" w14:textId="77777777" w:rsidR="00EA79F9" w:rsidRDefault="00000000">
            <w:pPr>
              <w:ind w:hanging="26"/>
              <w:rPr>
                <w:b/>
                <w:sz w:val="24"/>
                <w:szCs w:val="24"/>
              </w:rPr>
            </w:pPr>
            <w:r>
              <w:rPr>
                <w:b/>
              </w:rPr>
              <w:t>General:</w:t>
            </w:r>
          </w:p>
          <w:p w14:paraId="5E369FDC" w14:textId="77777777" w:rsidR="00EA79F9" w:rsidRDefault="00000000">
            <w:pPr>
              <w:numPr>
                <w:ilvl w:val="0"/>
                <w:numId w:val="1"/>
              </w:numPr>
              <w:spacing w:before="0" w:after="0"/>
            </w:pPr>
            <w:r>
              <w:t>Serve as a liaison and advocate between LCA and its membership to address concerns impacting their work.</w:t>
            </w:r>
          </w:p>
          <w:p w14:paraId="709FB3A1" w14:textId="77777777" w:rsidR="00EA79F9" w:rsidRDefault="00000000">
            <w:pPr>
              <w:numPr>
                <w:ilvl w:val="0"/>
                <w:numId w:val="1"/>
              </w:numPr>
              <w:spacing w:before="0" w:after="0"/>
            </w:pPr>
            <w:r>
              <w:t>Strategize and coordinate advocacy efforts for non-legislative issues that impact counselors in Louisiana.</w:t>
            </w:r>
          </w:p>
          <w:p w14:paraId="39BB193B" w14:textId="77777777" w:rsidR="00EA79F9" w:rsidRDefault="00000000">
            <w:pPr>
              <w:numPr>
                <w:ilvl w:val="0"/>
                <w:numId w:val="1"/>
              </w:numPr>
              <w:spacing w:before="0" w:after="0"/>
            </w:pPr>
            <w:r>
              <w:t>Provide training for LCA members to communicate with legislators and advocate for the counseling profession.</w:t>
            </w:r>
          </w:p>
          <w:p w14:paraId="59C3BC15" w14:textId="77777777" w:rsidR="00EA79F9" w:rsidRDefault="00000000">
            <w:pPr>
              <w:numPr>
                <w:ilvl w:val="0"/>
                <w:numId w:val="1"/>
              </w:numPr>
              <w:spacing w:before="0" w:after="0"/>
            </w:pPr>
            <w:r>
              <w:t>Develop strategies for regional representation by counselors to communicate with legislators.</w:t>
            </w:r>
          </w:p>
          <w:p w14:paraId="45134EB1" w14:textId="77777777" w:rsidR="00EA79F9" w:rsidRDefault="00000000">
            <w:pPr>
              <w:numPr>
                <w:ilvl w:val="0"/>
                <w:numId w:val="1"/>
              </w:numPr>
              <w:spacing w:before="0" w:after="0"/>
            </w:pPr>
            <w:r>
              <w:t>Organize town hall meetings and enlist support from members for legislative communication.</w:t>
            </w:r>
          </w:p>
          <w:p w14:paraId="10BEA6B5" w14:textId="77777777" w:rsidR="00EA79F9" w:rsidRDefault="00000000">
            <w:pPr>
              <w:numPr>
                <w:ilvl w:val="0"/>
                <w:numId w:val="1"/>
              </w:numPr>
              <w:spacing w:before="0" w:after="0"/>
            </w:pPr>
            <w:r>
              <w:t>Establish and maintain working relationships with other mental health professional organizations in Louisiana.</w:t>
            </w:r>
          </w:p>
          <w:p w14:paraId="7D0E2F63" w14:textId="77777777" w:rsidR="00EA79F9" w:rsidRDefault="00000000">
            <w:pPr>
              <w:numPr>
                <w:ilvl w:val="0"/>
                <w:numId w:val="1"/>
              </w:numPr>
              <w:spacing w:before="0" w:after="0"/>
            </w:pPr>
            <w:r>
              <w:t>Serve as an advocate for LCA members to improve communications and resolve conflicts regarding policies.</w:t>
            </w:r>
          </w:p>
          <w:p w14:paraId="243CEDAA" w14:textId="77777777" w:rsidR="00EA79F9" w:rsidRDefault="00000000">
            <w:pPr>
              <w:numPr>
                <w:ilvl w:val="0"/>
                <w:numId w:val="1"/>
              </w:numPr>
              <w:spacing w:before="0" w:after="0"/>
            </w:pPr>
            <w:r>
              <w:t>Attend the Louisiana State Board of Licensed Professional Counselors bi-monthly meetings and provide reports.</w:t>
            </w:r>
          </w:p>
          <w:p w14:paraId="5076609C" w14:textId="77777777" w:rsidR="00EA79F9" w:rsidRDefault="00000000">
            <w:pPr>
              <w:numPr>
                <w:ilvl w:val="0"/>
                <w:numId w:val="1"/>
              </w:numPr>
              <w:spacing w:before="0" w:after="0"/>
            </w:pPr>
            <w:r>
              <w:t>Contribute articles about Government Relations and Advocacy to the Lagniappe.</w:t>
            </w:r>
          </w:p>
          <w:p w14:paraId="68650FF2" w14:textId="77777777" w:rsidR="00EA79F9" w:rsidRDefault="00EA79F9">
            <w:pPr>
              <w:ind w:left="409"/>
              <w:rPr>
                <w:b/>
              </w:rPr>
            </w:pPr>
          </w:p>
          <w:p w14:paraId="08219780" w14:textId="77777777" w:rsidR="00EA79F9" w:rsidRDefault="00EA79F9">
            <w:pPr>
              <w:rPr>
                <w:b/>
              </w:rPr>
            </w:pPr>
          </w:p>
          <w:p w14:paraId="0BBDC226" w14:textId="77777777" w:rsidR="00EA79F9" w:rsidRDefault="00EA79F9">
            <w:pPr>
              <w:spacing w:before="20" w:after="240"/>
              <w:rPr>
                <w:rFonts w:cs="Calibri"/>
              </w:rPr>
            </w:pPr>
          </w:p>
        </w:tc>
      </w:tr>
      <w:tr w:rsidR="00EA79F9" w14:paraId="2A24DA7A" w14:textId="77777777">
        <w:tc>
          <w:tcPr>
            <w:tcW w:w="9576" w:type="dxa"/>
            <w:gridSpan w:val="6"/>
            <w:shd w:val="clear" w:color="auto" w:fill="F2F2F2"/>
          </w:tcPr>
          <w:p w14:paraId="3BD3099F" w14:textId="77777777" w:rsidR="00EA79F9" w:rsidRDefault="00000000">
            <w:r>
              <w:lastRenderedPageBreak/>
              <w:t>Position Reporting To: Administrative Council and Executive Director</w:t>
            </w:r>
          </w:p>
        </w:tc>
      </w:tr>
      <w:tr w:rsidR="00EA79F9" w14:paraId="71C594B4" w14:textId="77777777">
        <w:tc>
          <w:tcPr>
            <w:tcW w:w="1818" w:type="dxa"/>
            <w:shd w:val="clear" w:color="auto" w:fill="F2F2F2"/>
          </w:tcPr>
          <w:p w14:paraId="62DE3942" w14:textId="77777777" w:rsidR="00EA79F9" w:rsidRDefault="00000000">
            <w:r>
              <w:t>Last Updated By:</w:t>
            </w:r>
          </w:p>
        </w:tc>
        <w:tc>
          <w:tcPr>
            <w:tcW w:w="3150" w:type="dxa"/>
            <w:gridSpan w:val="2"/>
          </w:tcPr>
          <w:p w14:paraId="02478900" w14:textId="77777777" w:rsidR="00EA79F9" w:rsidRDefault="00000000">
            <w:r>
              <w:t>Government Relations ad-hoc Committee</w:t>
            </w:r>
          </w:p>
        </w:tc>
        <w:tc>
          <w:tcPr>
            <w:tcW w:w="1800" w:type="dxa"/>
            <w:gridSpan w:val="2"/>
            <w:shd w:val="clear" w:color="auto" w:fill="F2F2F2"/>
          </w:tcPr>
          <w:p w14:paraId="0D5F6752" w14:textId="77777777" w:rsidR="00EA79F9" w:rsidRDefault="00000000">
            <w:r>
              <w:t>Date of Update:</w:t>
            </w:r>
          </w:p>
        </w:tc>
        <w:tc>
          <w:tcPr>
            <w:tcW w:w="2808" w:type="dxa"/>
          </w:tcPr>
          <w:p w14:paraId="200B6F9D" w14:textId="77777777" w:rsidR="00EA79F9" w:rsidRDefault="00000000">
            <w:bookmarkStart w:id="0" w:name="_heading=h.gjdgxs" w:colFirst="0" w:colLast="0"/>
            <w:bookmarkEnd w:id="0"/>
            <w:r>
              <w:t>8/2024</w:t>
            </w:r>
          </w:p>
        </w:tc>
      </w:tr>
      <w:tr w:rsidR="00EA79F9" w14:paraId="6427EE2B" w14:textId="77777777">
        <w:tc>
          <w:tcPr>
            <w:tcW w:w="1818" w:type="dxa"/>
            <w:shd w:val="clear" w:color="auto" w:fill="F2F2F2"/>
          </w:tcPr>
          <w:p w14:paraId="43E69FD9" w14:textId="77777777" w:rsidR="00EA79F9" w:rsidRDefault="00000000">
            <w:r>
              <w:t>Approval:</w:t>
            </w:r>
          </w:p>
        </w:tc>
        <w:tc>
          <w:tcPr>
            <w:tcW w:w="3150" w:type="dxa"/>
            <w:gridSpan w:val="2"/>
          </w:tcPr>
          <w:p w14:paraId="018F1563" w14:textId="77777777" w:rsidR="00EA79F9" w:rsidRDefault="00000000">
            <w:r>
              <w:t>LCA Executive Board</w:t>
            </w:r>
          </w:p>
        </w:tc>
        <w:tc>
          <w:tcPr>
            <w:tcW w:w="1800" w:type="dxa"/>
            <w:gridSpan w:val="2"/>
            <w:shd w:val="clear" w:color="auto" w:fill="F2F2F2"/>
          </w:tcPr>
          <w:p w14:paraId="69342A5D" w14:textId="77777777" w:rsidR="00EA79F9" w:rsidRDefault="00000000">
            <w:r>
              <w:t>Date of Approval:</w:t>
            </w:r>
          </w:p>
        </w:tc>
        <w:tc>
          <w:tcPr>
            <w:tcW w:w="2808" w:type="dxa"/>
          </w:tcPr>
          <w:p w14:paraId="114A22DB" w14:textId="77777777" w:rsidR="00EA79F9" w:rsidRDefault="00000000">
            <w:r>
              <w:t xml:space="preserve"> </w:t>
            </w:r>
          </w:p>
        </w:tc>
      </w:tr>
    </w:tbl>
    <w:p w14:paraId="6AE8D3D1" w14:textId="77777777" w:rsidR="00EA79F9" w:rsidRDefault="00EA79F9"/>
    <w:sectPr w:rsidR="00EA79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224D"/>
    <w:multiLevelType w:val="multilevel"/>
    <w:tmpl w:val="5566ADB2"/>
    <w:lvl w:ilvl="0">
      <w:start w:val="1"/>
      <w:numFmt w:val="bullet"/>
      <w:pStyle w:val="BulletedLis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905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F9"/>
    <w:rsid w:val="001D1E19"/>
    <w:rsid w:val="00507746"/>
    <w:rsid w:val="00EA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D474"/>
  <w15:docId w15:val="{5439F2FC-E441-4F53-9CE4-4D8BEF35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before="6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3C"/>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abel">
    <w:name w:val="Label"/>
    <w:basedOn w:val="Normal"/>
    <w:qFormat/>
    <w:rsid w:val="006A1E3C"/>
    <w:pPr>
      <w:spacing w:before="40"/>
    </w:pPr>
    <w:rPr>
      <w:b/>
      <w:color w:val="262626"/>
    </w:rPr>
  </w:style>
  <w:style w:type="paragraph" w:customStyle="1" w:styleId="BulletedList">
    <w:name w:val="Bulleted List"/>
    <w:basedOn w:val="Normal"/>
    <w:qFormat/>
    <w:rsid w:val="006A1E3C"/>
    <w:pPr>
      <w:numPr>
        <w:numId w:val="1"/>
      </w:numPr>
    </w:pPr>
    <w:rPr>
      <w:color w:val="262626"/>
    </w:rPr>
  </w:style>
  <w:style w:type="paragraph" w:customStyle="1" w:styleId="Secondarylabels">
    <w:name w:val="Secondary labels"/>
    <w:basedOn w:val="Label"/>
    <w:qFormat/>
    <w:rsid w:val="006A1E3C"/>
    <w:pPr>
      <w:spacing w:before="120" w:after="120"/>
    </w:pPr>
  </w:style>
  <w:style w:type="paragraph" w:styleId="NormalWeb">
    <w:name w:val="Normal (Web)"/>
    <w:basedOn w:val="Normal"/>
    <w:uiPriority w:val="99"/>
    <w:semiHidden/>
    <w:unhideWhenUsed/>
    <w:rsid w:val="006A1E3C"/>
    <w:pPr>
      <w:spacing w:before="100" w:beforeAutospacing="1" w:after="100" w:afterAutospacing="1"/>
    </w:pPr>
    <w:rPr>
      <w:rFonts w:ascii="Times" w:hAnsi="Times"/>
    </w:rPr>
  </w:style>
  <w:style w:type="paragraph" w:styleId="ListParagraph">
    <w:name w:val="List Paragraph"/>
    <w:basedOn w:val="Normal"/>
    <w:uiPriority w:val="34"/>
    <w:qFormat/>
    <w:rsid w:val="00F24C28"/>
    <w:pPr>
      <w:spacing w:before="0" w:after="0"/>
      <w:ind w:left="720"/>
      <w:contextualSpacing/>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C018AD"/>
    <w:pPr>
      <w:tabs>
        <w:tab w:val="center" w:pos="4680"/>
        <w:tab w:val="right" w:pos="9360"/>
      </w:tabs>
      <w:spacing w:before="0" w:after="0"/>
    </w:pPr>
  </w:style>
  <w:style w:type="character" w:customStyle="1" w:styleId="HeaderChar">
    <w:name w:val="Header Char"/>
    <w:basedOn w:val="DefaultParagraphFont"/>
    <w:link w:val="Header"/>
    <w:uiPriority w:val="99"/>
    <w:rsid w:val="00C018AD"/>
    <w:rPr>
      <w:rFonts w:ascii="Calibri" w:eastAsia="Calibri" w:hAnsi="Calibri" w:cs="Times New Roman"/>
      <w:sz w:val="20"/>
    </w:rPr>
  </w:style>
  <w:style w:type="paragraph" w:styleId="Footer">
    <w:name w:val="footer"/>
    <w:basedOn w:val="Normal"/>
    <w:link w:val="FooterChar"/>
    <w:uiPriority w:val="99"/>
    <w:unhideWhenUsed/>
    <w:rsid w:val="00C018AD"/>
    <w:pPr>
      <w:tabs>
        <w:tab w:val="center" w:pos="4680"/>
        <w:tab w:val="right" w:pos="9360"/>
      </w:tabs>
      <w:spacing w:before="0" w:after="0"/>
    </w:pPr>
  </w:style>
  <w:style w:type="character" w:customStyle="1" w:styleId="FooterChar">
    <w:name w:val="Footer Char"/>
    <w:basedOn w:val="DefaultParagraphFont"/>
    <w:link w:val="Footer"/>
    <w:uiPriority w:val="99"/>
    <w:rsid w:val="00C018AD"/>
    <w:rPr>
      <w:rFonts w:ascii="Calibri" w:eastAsia="Calibri" w:hAnsi="Calibri" w:cs="Times New Roman"/>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RGPlYz/6vJ3RPLpxsFqNbrLdw==">CgMxLjAyCGguZ2pkZ3hzOABqKAoUc3VnZ2VzdC5wb29vY2QxMnR4a3USEEFkcmlhbm5lIFRyb2dkZW5yITF5OTZDeGRmTXVHWWtQRnFHbEdMOEJBcmY1T25acnpZaQ==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Austin</dc:creator>
  <cp:lastModifiedBy>Diane Austin</cp:lastModifiedBy>
  <cp:revision>2</cp:revision>
  <dcterms:created xsi:type="dcterms:W3CDTF">2024-11-10T16:58:00Z</dcterms:created>
  <dcterms:modified xsi:type="dcterms:W3CDTF">2024-11-10T16:58:00Z</dcterms:modified>
</cp:coreProperties>
</file>